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0"/>
        <w:jc w:val="both"/>
        <w:textAlignment w:val="auto"/>
        <w:outlineLvl w:val="9"/>
        <w:rPr>
          <w:rFonts w:hint="eastAsia" w:ascii="仿宋" w:hAnsi="仿宋" w:eastAsia="仿宋" w:cs="仿宋"/>
          <w:b w:val="0"/>
          <w:bCs/>
          <w:color w:val="000000"/>
          <w:spacing w:val="-6"/>
          <w:sz w:val="32"/>
          <w:szCs w:val="32"/>
          <w:lang w:val="en-US" w:eastAsia="zh-CN"/>
        </w:rPr>
      </w:pPr>
      <w:r>
        <w:rPr>
          <w:rFonts w:hint="eastAsia" w:ascii="仿宋" w:hAnsi="仿宋" w:eastAsia="仿宋" w:cs="仿宋"/>
          <w:b w:val="0"/>
          <w:bCs/>
          <w:color w:val="000000"/>
          <w:spacing w:val="-6"/>
          <w:sz w:val="32"/>
          <w:szCs w:val="32"/>
          <w:lang w:eastAsia="zh-CN"/>
        </w:rPr>
        <w:t>附件</w:t>
      </w:r>
      <w:r>
        <w:rPr>
          <w:rFonts w:hint="eastAsia" w:ascii="仿宋" w:hAnsi="仿宋" w:eastAsia="仿宋" w:cs="仿宋"/>
          <w:b w:val="0"/>
          <w:bCs/>
          <w:color w:val="000000"/>
          <w:spacing w:val="-6"/>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pacing w:val="-6"/>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pacing w:val="-6"/>
          <w:sz w:val="36"/>
          <w:szCs w:val="36"/>
        </w:rPr>
      </w:pPr>
      <w:r>
        <w:rPr>
          <w:rFonts w:hint="eastAsia" w:ascii="Times New Roman" w:hAnsi="Times New Roman" w:eastAsia="方正小标宋简体" w:cs="华文楷体"/>
          <w:bCs/>
          <w:color w:val="000000"/>
          <w:spacing w:val="-6"/>
          <w:sz w:val="36"/>
          <w:szCs w:val="36"/>
        </w:rPr>
        <w:t>企业变更登记、注销登记前置审批事项目录</w:t>
      </w: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z w:val="44"/>
          <w:szCs w:val="44"/>
        </w:rPr>
      </w:pPr>
      <w:r>
        <w:rPr>
          <w:rFonts w:hint="eastAsia" w:ascii="楷体_GB2312" w:hAnsi="楷体_GB2312" w:eastAsia="楷体_GB2312" w:cs="楷体_GB2312"/>
          <w:bCs/>
          <w:color w:val="000000"/>
          <w:kern w:val="0"/>
          <w:sz w:val="36"/>
          <w:szCs w:val="36"/>
          <w:lang w:eastAsia="zh-CN"/>
        </w:rPr>
        <w:t>（</w:t>
      </w:r>
      <w:r>
        <w:rPr>
          <w:rFonts w:hint="eastAsia" w:ascii="楷体_GB2312" w:hAnsi="楷体_GB2312" w:eastAsia="楷体_GB2312" w:cs="楷体_GB2312"/>
          <w:sz w:val="32"/>
          <w:lang w:val="en-US" w:eastAsia="zh-CN"/>
        </w:rPr>
        <w:t>2021年</w:t>
      </w:r>
      <w:r>
        <w:rPr>
          <w:rFonts w:hint="eastAsia" w:ascii="楷体_GB2312" w:hAnsi="楷体_GB2312" w:eastAsia="楷体_GB2312" w:cs="楷体_GB2312"/>
          <w:bCs/>
          <w:color w:val="000000"/>
          <w:kern w:val="0"/>
          <w:sz w:val="36"/>
          <w:szCs w:val="36"/>
          <w:lang w:eastAsia="zh-CN"/>
        </w:rPr>
        <w:t>）</w:t>
      </w:r>
    </w:p>
    <w:tbl>
      <w:tblPr>
        <w:tblStyle w:val="3"/>
        <w:tblW w:w="9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552"/>
        <w:gridCol w:w="3255"/>
        <w:gridCol w:w="1920"/>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25" w:hRule="atLeast"/>
          <w:tblHeader/>
          <w:jc w:val="center"/>
        </w:trPr>
        <w:tc>
          <w:tcPr>
            <w:tcW w:w="552" w:type="dxa"/>
            <w:vAlign w:val="center"/>
          </w:tcPr>
          <w:p>
            <w:pPr>
              <w:adjustRightInd w:val="0"/>
              <w:snapToGrid w:val="0"/>
              <w:spacing w:line="32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序号</w:t>
            </w:r>
          </w:p>
        </w:tc>
        <w:tc>
          <w:tcPr>
            <w:tcW w:w="325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项目名称</w:t>
            </w:r>
          </w:p>
        </w:tc>
        <w:tc>
          <w:tcPr>
            <w:tcW w:w="1920"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实施部门</w:t>
            </w:r>
          </w:p>
        </w:tc>
        <w:tc>
          <w:tcPr>
            <w:tcW w:w="400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100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民用爆炸物品销售</w:t>
            </w:r>
            <w:r>
              <w:rPr>
                <w:rFonts w:hint="eastAsia" w:ascii="Times New Roman" w:hAnsi="Times New Roman" w:eastAsia="仿宋_GB2312" w:cs="仿宋_GB2312"/>
                <w:color w:val="000000"/>
                <w:kern w:val="0"/>
                <w:sz w:val="20"/>
                <w:szCs w:val="20"/>
                <w:lang w:eastAsia="zh-CN"/>
              </w:rPr>
              <w:t>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省级人民政府民用爆炸物品行业主管部门</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保安服务企业变更法定代表人</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省级人民政府公安</w:t>
            </w:r>
            <w:r>
              <w:rPr>
                <w:rFonts w:hint="eastAsia" w:eastAsia="仿宋_GB2312" w:cs="仿宋_GB2312"/>
                <w:color w:val="000000"/>
                <w:kern w:val="0"/>
                <w:sz w:val="20"/>
                <w:szCs w:val="20"/>
                <w:lang w:eastAsia="zh-CN"/>
              </w:rPr>
              <w:t>部门</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《保安服务管理条例》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经营劳务派遣业务许可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省、市、县级</w:t>
            </w:r>
            <w:r>
              <w:rPr>
                <w:rFonts w:hint="eastAsia" w:ascii="Times New Roman" w:hAnsi="Times New Roman" w:eastAsia="仿宋_GB2312" w:cs="仿宋_GB2312"/>
                <w:color w:val="000000"/>
                <w:kern w:val="0"/>
                <w:sz w:val="20"/>
                <w:szCs w:val="20"/>
              </w:rPr>
              <w:t>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sz w:val="20"/>
                <w:szCs w:val="20"/>
              </w:rPr>
              <w:t>《中华人民共和国劳动合同法》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4</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直销企业及其分支机构设立和</w:t>
            </w:r>
          </w:p>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变更审批</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中华人民共和国</w:t>
            </w:r>
            <w:r>
              <w:rPr>
                <w:rFonts w:hint="eastAsia" w:ascii="Times New Roman" w:hAnsi="Times New Roman" w:eastAsia="仿宋_GB2312" w:cs="仿宋_GB2312"/>
                <w:color w:val="000000"/>
                <w:sz w:val="20"/>
                <w:szCs w:val="20"/>
              </w:rPr>
              <w:t>商务部</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对外劳务合作经营资格核准</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省级或者设区的市级人民政府商务行政主管部门</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个人征信机构设立分支机构、合并或者分立、变更注册资本、变更出资额审批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中国</w:t>
            </w:r>
            <w:r>
              <w:rPr>
                <w:rFonts w:hint="eastAsia" w:ascii="Times New Roman" w:hAnsi="Times New Roman" w:eastAsia="仿宋_GB2312" w:cs="仿宋_GB2312"/>
                <w:color w:val="000000"/>
                <w:sz w:val="20"/>
                <w:szCs w:val="20"/>
              </w:rPr>
              <w:t>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《征信业管理条例》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出版单位变更名称、主办单位或者其主管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、业务范围、资本结构，合并或者分立，设立分支机构审批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出版物进口经营单位变更名称、业务范围、资本结构、主办单位或者其主管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81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中资银行业金融机构及其分支机构变更、终止以及业务范围审批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《中华人民共和国商业银行法》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88"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非银行金融机构（分支机构）变更、终止以及业务范围审批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外资银行变更注册资本或者营运资金、变更机构名称、营业场所或者办公场所、调整业务范围、变更股东或者调整股东持股比例、修改章程以及终结审批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《中华人民共和国外资银行管理条例》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外国银行代表处变更及终止审批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《中华人民共和国外资银行管理条例》</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《外国企业常驻代表机构登记管理条例》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融资</w:t>
            </w:r>
            <w:r>
              <w:rPr>
                <w:rFonts w:hint="eastAsia" w:ascii="Times New Roman" w:hAnsi="Times New Roman" w:eastAsia="仿宋_GB2312" w:cs="仿宋_GB2312"/>
                <w:color w:val="000000"/>
                <w:sz w:val="20"/>
                <w:szCs w:val="20"/>
                <w:lang w:eastAsia="zh-CN"/>
              </w:rPr>
              <w:t>担保公司</w:t>
            </w:r>
            <w:r>
              <w:rPr>
                <w:rFonts w:hint="eastAsia" w:ascii="Times New Roman" w:hAnsi="Times New Roman" w:eastAsia="仿宋_GB2312" w:cs="仿宋_GB2312"/>
                <w:color w:val="000000"/>
                <w:sz w:val="20"/>
                <w:szCs w:val="20"/>
              </w:rPr>
              <w:t>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省级人民政府确定的部门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《国务院对确需保留的行政审批项目设定行政许可的决定》（国务院令第548号）</w:t>
            </w:r>
          </w:p>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《融资担保公司监督管理条例》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14</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证券登记结算机构解散审批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15</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证券公司变更业务范围、变更主要股东或者公司的实际控制人，合并、分立、停业、解散、破产审批</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91"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6</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rPr>
            </w:pPr>
            <w:r>
              <w:rPr>
                <w:rFonts w:hint="eastAsia" w:ascii="Times New Roman" w:hAnsi="Times New Roman" w:eastAsia="仿宋_GB2312" w:cs="仿宋_GB2312"/>
                <w:color w:val="000000"/>
                <w:sz w:val="20"/>
                <w:szCs w:val="20"/>
              </w:rPr>
              <w:t>证券金融公司解散审批</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7</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期货公司境内及境外期货经纪业务、期货投资咨询业务许可</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8</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期货公司合并、分立、解散或者破产、变更业务范围、变更注册资本且调整股权结构、新增持有5%以上股权的股东或者控股股东发生变化审批</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19</w:t>
            </w:r>
          </w:p>
        </w:tc>
        <w:tc>
          <w:tcPr>
            <w:tcW w:w="325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外国证券类机构驻华代表机构名称变更核准</w:t>
            </w:r>
          </w:p>
        </w:tc>
        <w:tc>
          <w:tcPr>
            <w:tcW w:w="1920"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中国证券监督管理委员会及其派出机构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widowControl/>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widowControl/>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《证券公司监督管理条例》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《国务院关于管理外国企业常驻代表机构的暂行规定》（国发〔1980〕272号）</w:t>
            </w:r>
          </w:p>
          <w:p>
            <w:pPr>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《国务院关于第四批取消和调整行政审批项目的决定》（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2007</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33</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w:t>
            </w:r>
          </w:p>
        </w:tc>
        <w:tc>
          <w:tcPr>
            <w:tcW w:w="3255" w:type="dxa"/>
            <w:vAlign w:val="center"/>
          </w:tcPr>
          <w:p>
            <w:pPr>
              <w:adjustRightInd/>
              <w:snapToGrid/>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使用“交易所”字样的交易场所审批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国务院或国务院金融管理部门、省级人民政府</w:t>
            </w:r>
          </w:p>
        </w:tc>
        <w:tc>
          <w:tcPr>
            <w:tcW w:w="4005" w:type="dxa"/>
            <w:vAlign w:val="center"/>
          </w:tcPr>
          <w:p>
            <w:pPr>
              <w:widowControl/>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《防范和处置非法集资条例》</w:t>
            </w:r>
          </w:p>
          <w:p>
            <w:pPr>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从事保险、信贷、黄金等金融产品交易的交易场所审批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国务院相关金融管理部门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专属自保组织和相互保险组织合并、分立、变更、解散审批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4</w:t>
            </w:r>
          </w:p>
        </w:tc>
        <w:tc>
          <w:tcPr>
            <w:tcW w:w="325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保险资产管理公司重大事项变更审批。保险资产管理公司及其分支机构终止（解散、破产和分支机构撤销）审批</w:t>
            </w:r>
          </w:p>
        </w:tc>
        <w:tc>
          <w:tcPr>
            <w:tcW w:w="1920"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r>
              <w:rPr>
                <w:rFonts w:hint="eastAsia" w:ascii="Times New Roman" w:hAnsi="Times New Roman" w:eastAsia="仿宋_GB2312" w:cs="仿宋_GB2312"/>
                <w:color w:val="000000"/>
                <w:sz w:val="20"/>
                <w:szCs w:val="20"/>
              </w:rPr>
              <w:t>（会同</w:t>
            </w:r>
            <w:r>
              <w:rPr>
                <w:rFonts w:hint="eastAsia" w:ascii="Times New Roman" w:hAnsi="Times New Roman" w:eastAsia="仿宋_GB2312" w:cs="仿宋_GB2312"/>
                <w:color w:val="000000"/>
                <w:kern w:val="0"/>
                <w:sz w:val="20"/>
                <w:szCs w:val="20"/>
                <w:lang w:eastAsia="zh-CN"/>
              </w:rPr>
              <w:t>中国证券监督管理委员会</w:t>
            </w:r>
            <w:r>
              <w:rPr>
                <w:rFonts w:hint="eastAsia" w:ascii="Times New Roman" w:hAnsi="Times New Roman" w:eastAsia="仿宋_GB2312" w:cs="仿宋_GB2312"/>
                <w:color w:val="000000"/>
                <w:sz w:val="20"/>
                <w:szCs w:val="20"/>
              </w:rPr>
              <w:t>）</w:t>
            </w:r>
          </w:p>
        </w:tc>
        <w:tc>
          <w:tcPr>
            <w:tcW w:w="4005" w:type="dxa"/>
            <w:vAlign w:val="center"/>
          </w:tcPr>
          <w:p>
            <w:pPr>
              <w:pStyle w:val="4"/>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5</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保险集团公司及保险控股公司合并、分立、变更、解散审批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外国保险机构驻华代表机构重大事项变更审批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烟草制品生产企业分立、合并、撤销的审批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国家烟草专卖局</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《中华人民共和国烟草专卖法》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营利性民办学校(营利性民办培训机构)</w:t>
            </w:r>
            <w:r>
              <w:rPr>
                <w:rFonts w:hint="eastAsia" w:ascii="Times New Roman" w:hAnsi="Times New Roman" w:eastAsia="仿宋_GB2312" w:cs="仿宋_GB2312"/>
                <w:color w:val="000000"/>
                <w:sz w:val="18"/>
                <w:szCs w:val="18"/>
              </w:rPr>
              <w:t xml:space="preserve"> </w:t>
            </w:r>
            <w:r>
              <w:rPr>
                <w:rFonts w:hint="eastAsia" w:ascii="Times New Roman" w:hAnsi="Times New Roman" w:eastAsia="仿宋_GB2312" w:cs="仿宋_GB2312"/>
                <w:color w:val="000000"/>
                <w:kern w:val="0"/>
                <w:sz w:val="20"/>
                <w:szCs w:val="20"/>
              </w:rPr>
              <w:t>名称、层次、类别的变更，分立，合并，终止</w:t>
            </w:r>
          </w:p>
        </w:tc>
        <w:tc>
          <w:tcPr>
            <w:tcW w:w="1920" w:type="dxa"/>
            <w:vAlign w:val="center"/>
          </w:tcPr>
          <w:p>
            <w:pPr>
              <w:adjustRightInd w:val="0"/>
              <w:snapToGrid w:val="0"/>
              <w:spacing w:line="340" w:lineRule="exact"/>
              <w:jc w:val="both"/>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县级以上人民政府教育行政部门、县级以上人民政府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《中华人民共和国民办教育促进法》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变更名称、住所、注册资本、持有5%以上股权的股东、实际控制人，修改公司章程，投资控股其他金融机构，增加或者减少对所控股金融机构的出资或者持股比例导致控制权变更或者丧失，分立、合并、解散或者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《国务院关于实施金融控股公司准入管理的决定》（国发〔</w:t>
            </w:r>
            <w:r>
              <w:rPr>
                <w:rFonts w:hint="eastAsia" w:ascii="Times New Roman" w:hAnsi="Times New Roman" w:eastAsia="仿宋_GB2312" w:cs="仿宋_GB2312"/>
                <w:color w:val="000000"/>
                <w:kern w:val="0"/>
                <w:sz w:val="20"/>
                <w:szCs w:val="20"/>
                <w:lang w:val="en-US" w:eastAsia="zh-CN"/>
              </w:rPr>
              <w:t>2020</w:t>
            </w:r>
            <w:r>
              <w:rPr>
                <w:rFonts w:hint="eastAsia" w:ascii="Times New Roman" w:hAnsi="Times New Roman" w:eastAsia="仿宋_GB2312" w:cs="仿宋_GB2312"/>
                <w:color w:val="000000"/>
                <w:kern w:val="0"/>
                <w:sz w:val="20"/>
                <w:szCs w:val="20"/>
                <w:lang w:eastAsia="zh-CN"/>
              </w:rPr>
              <w:t>〕</w:t>
            </w:r>
            <w:r>
              <w:rPr>
                <w:rFonts w:hint="eastAsia" w:ascii="Times New Roman" w:hAnsi="Times New Roman" w:eastAsia="仿宋_GB2312" w:cs="仿宋_GB2312"/>
                <w:color w:val="000000"/>
                <w:kern w:val="0"/>
                <w:sz w:val="20"/>
                <w:szCs w:val="20"/>
                <w:lang w:val="en-US" w:eastAsia="zh-CN"/>
              </w:rPr>
              <w:t>12号</w:t>
            </w:r>
            <w:r>
              <w:rPr>
                <w:rFonts w:hint="eastAsia" w:ascii="Times New Roman" w:hAnsi="Times New Roman" w:eastAsia="仿宋_GB2312" w:cs="仿宋_GB2312"/>
                <w:color w:val="000000"/>
                <w:kern w:val="0"/>
                <w:sz w:val="20"/>
                <w:szCs w:val="20"/>
                <w:lang w:eastAsia="zh-CN"/>
              </w:rPr>
              <w:t>）</w:t>
            </w:r>
          </w:p>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《金融控股公司监督管理试行办法》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5" w:hRule="atLeast"/>
          <w:jc w:val="center"/>
        </w:trPr>
        <w:tc>
          <w:tcPr>
            <w:tcW w:w="9732" w:type="dxa"/>
            <w:gridSpan w:val="4"/>
            <w:vAlign w:val="center"/>
          </w:tcPr>
          <w:p>
            <w:pPr>
              <w:ind w:left="-2" w:leftChars="-1" w:firstLine="226" w:firstLineChars="103"/>
              <w:jc w:val="center"/>
              <w:rPr>
                <w:rFonts w:hint="eastAsia" w:ascii="Times New Roman" w:hAnsi="Times New Roman" w:eastAsia="宋体"/>
                <w:color w:val="000000"/>
                <w:sz w:val="22"/>
                <w:szCs w:val="20"/>
              </w:rPr>
            </w:pPr>
            <w:r>
              <w:rPr>
                <w:rFonts w:hint="eastAsia" w:ascii="Times New Roman" w:hAnsi="Times New Roman" w:eastAsia="仿宋_GB2312" w:cs="仿宋_GB2312"/>
                <w:color w:val="000000"/>
                <w:sz w:val="22"/>
                <w:szCs w:val="20"/>
              </w:rPr>
              <w:t>注：以上前置审批事项，涉及</w:t>
            </w:r>
            <w:r>
              <w:rPr>
                <w:rFonts w:hint="eastAsia" w:ascii="Times New Roman" w:hAnsi="Times New Roman" w:eastAsia="仿宋_GB2312" w:cs="仿宋_GB2312"/>
                <w:color w:val="000000"/>
                <w:sz w:val="22"/>
                <w:szCs w:val="20"/>
                <w:lang w:eastAsia="zh-CN"/>
              </w:rPr>
              <w:t>企业</w:t>
            </w:r>
            <w:r>
              <w:rPr>
                <w:rFonts w:hint="eastAsia" w:ascii="Times New Roman" w:hAnsi="Times New Roman" w:eastAsia="仿宋_GB2312" w:cs="仿宋_GB2312"/>
                <w:color w:val="000000"/>
                <w:sz w:val="22"/>
                <w:szCs w:val="20"/>
              </w:rPr>
              <w:t>登记事项的，凭审批文件办理变更、注销登记。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95844"/>
    <w:rsid w:val="60E9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w:basedOn w:val="1"/>
    <w:qFormat/>
    <w:uiPriority w:val="0"/>
    <w:pPr>
      <w:spacing w:line="240" w:lineRule="atLeast"/>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2023-03-27T01:06:00Z</dcterms:created>
  <dc:creator>宋凯</dc:creator>
  <cp:lastModifiedBy>宋凯</cp:lastModifiedBy>
  <dcterms:modified xsi:type="dcterms:W3CDTF">2023-03-27T01:07:46Z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